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травня 2017 року </w:t>
        <w:tab/>
        <w:tab/>
        <w:tab/>
        <w:tab/>
        <w:t xml:space="preserve">№ 341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01.03.2017 №105 “Про створення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із списання майна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6, 41 Закону України “Про місцеві державні адміністрації”,  у зв’язку із змінами у штатному розписі: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2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ab/>
        <w:t xml:space="preserve">1. Внести зміни в пункт 1 розпорядження голови районної державної адміністрації від 01.03.2017 №105 “Про створення комісії із списання майна районної державної адміністрації”, а саме 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2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ab/>
        <w:t xml:space="preserve">Посаду члена комісії  : Березової З.М. – “заступник керівника апарату-начальник відділу фінансово-господарського забезпечення апарату районної державної адміністрації” замінити на “начальник відділу фінансово-господарського забезпечення апарату районної державної адміністрації”.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2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47"/>
        </w:tabs>
        <w:spacing w:after="0" w:before="0" w:line="240" w:lineRule="auto"/>
        <w:ind w:left="0" w:right="7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47"/>
        </w:tabs>
        <w:spacing w:after="0" w:before="0" w:line="240" w:lineRule="auto"/>
        <w:ind w:left="0" w:right="7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